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400" w:rsidRPr="00FF023B" w:rsidRDefault="00324455" w:rsidP="00324455">
      <w:pPr>
        <w:jc w:val="center"/>
        <w:rPr>
          <w:rFonts w:ascii="Times New Roman" w:hAnsi="Times New Roman" w:cs="Times New Roman"/>
        </w:rPr>
      </w:pPr>
      <w:r w:rsidRPr="00FF023B">
        <w:rPr>
          <w:rFonts w:ascii="Times New Roman" w:hAnsi="Times New Roman" w:cs="Times New Roman"/>
        </w:rPr>
        <w:t>VIZUÁLIS MŰVÉSZET MŰTERMI GYAKORLAT I.</w:t>
      </w:r>
    </w:p>
    <w:p w:rsidR="007608DD" w:rsidRPr="00FF023B" w:rsidRDefault="007608DD" w:rsidP="007608DD">
      <w:pPr>
        <w:rPr>
          <w:rFonts w:ascii="Times New Roman" w:hAnsi="Times New Roman" w:cs="Times New Roman"/>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gridCol w:w="2484"/>
      </w:tblGrid>
      <w:tr w:rsidR="007608DD" w:rsidRPr="00FF023B" w:rsidTr="0020221F">
        <w:tc>
          <w:tcPr>
            <w:tcW w:w="7014" w:type="dxa"/>
            <w:tcBorders>
              <w:top w:val="single" w:sz="4" w:space="0" w:color="auto"/>
              <w:left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jc w:val="both"/>
              <w:rPr>
                <w:rFonts w:ascii="Times New Roman" w:hAnsi="Times New Roman" w:cs="Times New Roman"/>
                <w:b/>
                <w:i/>
                <w:sz w:val="24"/>
                <w:szCs w:val="24"/>
              </w:rPr>
            </w:pPr>
            <w:r w:rsidRPr="00FF023B">
              <w:rPr>
                <w:rFonts w:ascii="Times New Roman" w:hAnsi="Times New Roman" w:cs="Times New Roman"/>
                <w:b/>
                <w:sz w:val="24"/>
                <w:szCs w:val="24"/>
              </w:rPr>
              <w:t xml:space="preserve">Tantárgy neve: Vizuális Művészet </w:t>
            </w:r>
            <w:proofErr w:type="spellStart"/>
            <w:r w:rsidRPr="00FF023B">
              <w:rPr>
                <w:rFonts w:ascii="Times New Roman" w:hAnsi="Times New Roman" w:cs="Times New Roman"/>
                <w:b/>
                <w:sz w:val="24"/>
                <w:szCs w:val="24"/>
              </w:rPr>
              <w:t>műtermi</w:t>
            </w:r>
            <w:proofErr w:type="spellEnd"/>
            <w:r w:rsidRPr="00FF023B">
              <w:rPr>
                <w:rFonts w:ascii="Times New Roman" w:hAnsi="Times New Roman" w:cs="Times New Roman"/>
                <w:b/>
                <w:sz w:val="24"/>
                <w:szCs w:val="24"/>
              </w:rPr>
              <w:t xml:space="preserve"> gyakorlat I.</w:t>
            </w:r>
          </w:p>
        </w:tc>
        <w:tc>
          <w:tcPr>
            <w:tcW w:w="2484" w:type="dxa"/>
            <w:tcBorders>
              <w:top w:val="single" w:sz="4" w:space="0" w:color="auto"/>
              <w:left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spacing w:before="60"/>
              <w:jc w:val="both"/>
              <w:rPr>
                <w:rFonts w:ascii="Times New Roman" w:hAnsi="Times New Roman" w:cs="Times New Roman"/>
                <w:b/>
              </w:rPr>
            </w:pPr>
            <w:r w:rsidRPr="00FF023B">
              <w:rPr>
                <w:rFonts w:ascii="Times New Roman" w:hAnsi="Times New Roman" w:cs="Times New Roman"/>
              </w:rPr>
              <w:t>Kreditértéke:</w:t>
            </w:r>
            <w:r w:rsidRPr="00FF023B">
              <w:rPr>
                <w:rFonts w:ascii="Times New Roman" w:hAnsi="Times New Roman" w:cs="Times New Roman"/>
                <w:b/>
              </w:rPr>
              <w:t xml:space="preserve"> 12</w:t>
            </w:r>
          </w:p>
        </w:tc>
      </w:tr>
      <w:tr w:rsidR="007608DD" w:rsidRPr="00FF023B" w:rsidTr="0020221F">
        <w:tc>
          <w:tcPr>
            <w:tcW w:w="949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spacing w:before="40" w:after="40"/>
              <w:jc w:val="both"/>
              <w:rPr>
                <w:rFonts w:ascii="Times New Roman" w:hAnsi="Times New Roman" w:cs="Times New Roman"/>
                <w:b/>
              </w:rPr>
            </w:pPr>
            <w:r w:rsidRPr="00FF023B">
              <w:rPr>
                <w:rFonts w:ascii="Times New Roman" w:hAnsi="Times New Roman" w:cs="Times New Roman"/>
                <w:b/>
              </w:rPr>
              <w:t>A tantárgy elméleti vagy gyakorlati jellegének mértéke, „képzési karaktere”: gyakorlati 100% (kredit%)</w:t>
            </w:r>
          </w:p>
        </w:tc>
      </w:tr>
      <w:tr w:rsidR="007608DD" w:rsidRPr="00FF023B" w:rsidTr="0020221F">
        <w:tc>
          <w:tcPr>
            <w:tcW w:w="9498" w:type="dxa"/>
            <w:gridSpan w:val="2"/>
            <w:tcBorders>
              <w:top w:val="single" w:sz="4" w:space="0" w:color="auto"/>
              <w:left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spacing w:before="60"/>
              <w:jc w:val="both"/>
              <w:rPr>
                <w:rFonts w:ascii="Times New Roman" w:hAnsi="Times New Roman" w:cs="Times New Roman"/>
              </w:rPr>
            </w:pPr>
            <w:r w:rsidRPr="00FF023B">
              <w:rPr>
                <w:rFonts w:ascii="Times New Roman" w:hAnsi="Times New Roman" w:cs="Times New Roman"/>
                <w:b/>
              </w:rPr>
              <w:t>A tanóra</w:t>
            </w:r>
            <w:r w:rsidRPr="00FF023B">
              <w:rPr>
                <w:rFonts w:ascii="Times New Roman" w:hAnsi="Times New Roman" w:cs="Times New Roman"/>
                <w:b/>
                <w:vertAlign w:val="superscript"/>
              </w:rPr>
              <w:t xml:space="preserve"> </w:t>
            </w:r>
            <w:r w:rsidRPr="00FF023B">
              <w:rPr>
                <w:rFonts w:ascii="Times New Roman" w:hAnsi="Times New Roman" w:cs="Times New Roman"/>
                <w:b/>
              </w:rPr>
              <w:t>típusa:</w:t>
            </w:r>
            <w:r w:rsidRPr="00FF023B">
              <w:rPr>
                <w:rFonts w:ascii="Times New Roman" w:hAnsi="Times New Roman" w:cs="Times New Roman"/>
              </w:rPr>
              <w:t xml:space="preserve"> gyakorlat és </w:t>
            </w:r>
            <w:r w:rsidRPr="00FF023B">
              <w:rPr>
                <w:rFonts w:ascii="Times New Roman" w:hAnsi="Times New Roman" w:cs="Times New Roman"/>
                <w:b/>
              </w:rPr>
              <w:t>óraszáma:</w:t>
            </w:r>
            <w:r w:rsidRPr="00FF023B">
              <w:rPr>
                <w:rFonts w:ascii="Times New Roman" w:hAnsi="Times New Roman" w:cs="Times New Roman"/>
              </w:rPr>
              <w:t xml:space="preserve"> heti 10 kontaktóra, </w:t>
            </w:r>
            <w:r w:rsidR="00C6263A" w:rsidRPr="00FF023B">
              <w:rPr>
                <w:rFonts w:ascii="Times New Roman" w:hAnsi="Times New Roman" w:cs="Times New Roman"/>
              </w:rPr>
              <w:t xml:space="preserve">az első félévben összesen </w:t>
            </w:r>
            <w:r w:rsidR="0030334B" w:rsidRPr="00FF023B">
              <w:rPr>
                <w:rFonts w:ascii="Times New Roman" w:hAnsi="Times New Roman" w:cs="Times New Roman"/>
              </w:rPr>
              <w:t>130</w:t>
            </w:r>
            <w:r w:rsidR="00C6263A" w:rsidRPr="00FF023B">
              <w:rPr>
                <w:rFonts w:ascii="Times New Roman" w:hAnsi="Times New Roman" w:cs="Times New Roman"/>
              </w:rPr>
              <w:t xml:space="preserve"> </w:t>
            </w:r>
            <w:r w:rsidRPr="00FF023B">
              <w:rPr>
                <w:rFonts w:ascii="Times New Roman" w:hAnsi="Times New Roman" w:cs="Times New Roman"/>
              </w:rPr>
              <w:t>tanóra</w:t>
            </w:r>
            <w:r w:rsidR="00C6263A" w:rsidRPr="00FF023B">
              <w:rPr>
                <w:rFonts w:ascii="Times New Roman" w:hAnsi="Times New Roman" w:cs="Times New Roman"/>
              </w:rPr>
              <w:t xml:space="preserve">, a 2. félévben összesen </w:t>
            </w:r>
            <w:r w:rsidR="0030334B" w:rsidRPr="00FF023B">
              <w:rPr>
                <w:rFonts w:ascii="Times New Roman" w:hAnsi="Times New Roman" w:cs="Times New Roman"/>
              </w:rPr>
              <w:t>150</w:t>
            </w:r>
            <w:r w:rsidR="00C6263A" w:rsidRPr="00FF023B">
              <w:rPr>
                <w:rFonts w:ascii="Times New Roman" w:hAnsi="Times New Roman" w:cs="Times New Roman"/>
              </w:rPr>
              <w:t xml:space="preserve"> tanóra</w:t>
            </w:r>
            <w:r w:rsidRPr="00FF023B">
              <w:rPr>
                <w:rFonts w:ascii="Times New Roman" w:hAnsi="Times New Roman" w:cs="Times New Roman"/>
              </w:rPr>
              <w:t xml:space="preserve"> (+10 kötelező-önálló munkaóra/hét)</w:t>
            </w:r>
          </w:p>
          <w:p w:rsidR="007608DD" w:rsidRPr="00FF023B" w:rsidRDefault="007608DD" w:rsidP="0020221F">
            <w:pPr>
              <w:suppressAutoHyphens/>
              <w:spacing w:before="60"/>
              <w:jc w:val="both"/>
              <w:rPr>
                <w:rFonts w:ascii="Times New Roman" w:hAnsi="Times New Roman" w:cs="Times New Roman"/>
              </w:rPr>
            </w:pPr>
            <w:r w:rsidRPr="00FF023B">
              <w:rPr>
                <w:rFonts w:ascii="Times New Roman" w:hAnsi="Times New Roman" w:cs="Times New Roman"/>
                <w:b/>
              </w:rPr>
              <w:t>nyelve:</w:t>
            </w:r>
            <w:r w:rsidRPr="00FF023B">
              <w:rPr>
                <w:rFonts w:ascii="Times New Roman" w:hAnsi="Times New Roman" w:cs="Times New Roman"/>
              </w:rPr>
              <w:t xml:space="preserve"> magyar, angol</w:t>
            </w:r>
          </w:p>
          <w:p w:rsidR="007608DD" w:rsidRPr="00FF023B" w:rsidRDefault="007608DD" w:rsidP="0020221F">
            <w:pPr>
              <w:suppressAutoHyphens/>
              <w:spacing w:before="60"/>
              <w:jc w:val="both"/>
              <w:rPr>
                <w:rFonts w:ascii="Times New Roman" w:hAnsi="Times New Roman" w:cs="Times New Roman"/>
              </w:rPr>
            </w:pPr>
            <w:r w:rsidRPr="00FF023B">
              <w:rPr>
                <w:rFonts w:ascii="Times New Roman" w:hAnsi="Times New Roman" w:cs="Times New Roman"/>
                <w:b/>
              </w:rPr>
              <w:t>Az adott ismeret átadásában alkalmazandó további (</w:t>
            </w:r>
            <w:r w:rsidRPr="00FF023B">
              <w:rPr>
                <w:rFonts w:ascii="Times New Roman" w:hAnsi="Times New Roman" w:cs="Times New Roman"/>
                <w:b/>
                <w:i/>
              </w:rPr>
              <w:t>sajátos</w:t>
            </w:r>
            <w:r w:rsidRPr="00FF023B">
              <w:rPr>
                <w:rFonts w:ascii="Times New Roman" w:hAnsi="Times New Roman" w:cs="Times New Roman"/>
                <w:b/>
              </w:rPr>
              <w:t>) módok, jellemzők:</w:t>
            </w:r>
            <w:r w:rsidRPr="00FF023B">
              <w:rPr>
                <w:rFonts w:ascii="Times New Roman" w:hAnsi="Times New Roman" w:cs="Times New Roman"/>
              </w:rPr>
              <w:t xml:space="preserve"> művészeti analógiák ismertetése, esettanulmányok, művészeti technikák bemutatása, művészeti kísérletek, projektek vezetése</w:t>
            </w:r>
          </w:p>
        </w:tc>
      </w:tr>
      <w:tr w:rsidR="007608DD" w:rsidRPr="00FF023B" w:rsidTr="0020221F">
        <w:tc>
          <w:tcPr>
            <w:tcW w:w="9498" w:type="dxa"/>
            <w:gridSpan w:val="2"/>
            <w:tcBorders>
              <w:left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spacing w:before="60"/>
              <w:jc w:val="both"/>
              <w:rPr>
                <w:rFonts w:ascii="Times New Roman" w:hAnsi="Times New Roman" w:cs="Times New Roman"/>
              </w:rPr>
            </w:pPr>
            <w:r w:rsidRPr="00FF023B">
              <w:rPr>
                <w:rFonts w:ascii="Times New Roman" w:hAnsi="Times New Roman" w:cs="Times New Roman"/>
                <w:b/>
              </w:rPr>
              <w:t>A számonkérés módja:</w:t>
            </w:r>
            <w:r w:rsidRPr="00FF023B">
              <w:rPr>
                <w:rFonts w:ascii="Times New Roman" w:hAnsi="Times New Roman" w:cs="Times New Roman"/>
              </w:rPr>
              <w:t xml:space="preserve"> </w:t>
            </w:r>
            <w:r w:rsidR="007870E6" w:rsidRPr="00FF023B">
              <w:rPr>
                <w:rFonts w:ascii="Times New Roman" w:hAnsi="Times New Roman" w:cs="Times New Roman"/>
              </w:rPr>
              <w:t>folyamatos számonkérés, gyakorlati jegy</w:t>
            </w:r>
          </w:p>
          <w:p w:rsidR="007608DD" w:rsidRPr="00FF023B" w:rsidRDefault="007608DD" w:rsidP="0020221F">
            <w:pPr>
              <w:suppressAutoHyphens/>
              <w:spacing w:before="60"/>
              <w:jc w:val="both"/>
              <w:rPr>
                <w:rFonts w:ascii="Times New Roman" w:hAnsi="Times New Roman" w:cs="Times New Roman"/>
                <w:b/>
              </w:rPr>
            </w:pPr>
            <w:r w:rsidRPr="00FF023B">
              <w:rPr>
                <w:rFonts w:ascii="Times New Roman" w:hAnsi="Times New Roman" w:cs="Times New Roman"/>
                <w:b/>
              </w:rPr>
              <w:t>Az ismeretellenőrzésben alkalmazandó további (</w:t>
            </w:r>
            <w:r w:rsidRPr="00FF023B">
              <w:rPr>
                <w:rFonts w:ascii="Times New Roman" w:hAnsi="Times New Roman" w:cs="Times New Roman"/>
                <w:b/>
                <w:i/>
              </w:rPr>
              <w:t>sajátos</w:t>
            </w:r>
            <w:r w:rsidRPr="00FF023B">
              <w:rPr>
                <w:rFonts w:ascii="Times New Roman" w:hAnsi="Times New Roman" w:cs="Times New Roman"/>
                <w:b/>
              </w:rPr>
              <w:t>) módok:</w:t>
            </w:r>
            <w:r w:rsidRPr="00FF023B">
              <w:rPr>
                <w:rFonts w:ascii="Times New Roman" w:hAnsi="Times New Roman" w:cs="Times New Roman"/>
              </w:rPr>
              <w:t xml:space="preserve"> </w:t>
            </w:r>
            <w:r w:rsidR="007870E6" w:rsidRPr="00FF023B">
              <w:rPr>
                <w:rFonts w:ascii="Times New Roman" w:hAnsi="Times New Roman" w:cs="Times New Roman"/>
              </w:rPr>
              <w:t>a hallgatók folyamatos művészeti tevékenységet végeznek, a gyakorlati oktatás során hétről-hétre az oktató és konzulens irányításával a tanulócsoporttal közösen megvitatják az elért eredményeket és a felmerülő lehetőségeket.</w:t>
            </w:r>
          </w:p>
        </w:tc>
      </w:tr>
      <w:tr w:rsidR="007608DD" w:rsidRPr="00FF023B" w:rsidTr="0020221F">
        <w:tc>
          <w:tcPr>
            <w:tcW w:w="949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jc w:val="both"/>
              <w:rPr>
                <w:rFonts w:ascii="Times New Roman" w:hAnsi="Times New Roman" w:cs="Times New Roman"/>
              </w:rPr>
            </w:pPr>
            <w:r w:rsidRPr="00FF023B">
              <w:rPr>
                <w:rFonts w:ascii="Times New Roman" w:hAnsi="Times New Roman" w:cs="Times New Roman"/>
                <w:b/>
              </w:rPr>
              <w:t>A tantárgy tantervi helye</w:t>
            </w:r>
            <w:r w:rsidRPr="00FF023B">
              <w:rPr>
                <w:rFonts w:ascii="Times New Roman" w:hAnsi="Times New Roman" w:cs="Times New Roman"/>
              </w:rPr>
              <w:t xml:space="preserve">: </w:t>
            </w:r>
            <w:r w:rsidR="00C6263A" w:rsidRPr="00FF023B">
              <w:rPr>
                <w:rFonts w:ascii="Times New Roman" w:hAnsi="Times New Roman" w:cs="Times New Roman"/>
              </w:rPr>
              <w:t>Vizuális Művészet BA</w:t>
            </w:r>
            <w:r w:rsidRPr="00FF023B">
              <w:rPr>
                <w:rFonts w:ascii="Times New Roman" w:hAnsi="Times New Roman" w:cs="Times New Roman"/>
              </w:rPr>
              <w:t xml:space="preserve"> képzésen 1.</w:t>
            </w:r>
            <w:r w:rsidR="00C6263A" w:rsidRPr="00FF023B">
              <w:rPr>
                <w:rFonts w:ascii="Times New Roman" w:hAnsi="Times New Roman" w:cs="Times New Roman"/>
              </w:rPr>
              <w:t>, 2., 3.</w:t>
            </w:r>
            <w:r w:rsidRPr="00FF023B">
              <w:rPr>
                <w:rFonts w:ascii="Times New Roman" w:hAnsi="Times New Roman" w:cs="Times New Roman"/>
              </w:rPr>
              <w:t xml:space="preserve"> félév</w:t>
            </w:r>
          </w:p>
        </w:tc>
      </w:tr>
      <w:tr w:rsidR="007608DD" w:rsidRPr="00FF023B" w:rsidTr="0020221F">
        <w:tc>
          <w:tcPr>
            <w:tcW w:w="949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7608DD" w:rsidRPr="00FF023B" w:rsidRDefault="007608DD" w:rsidP="0020221F">
            <w:pPr>
              <w:suppressAutoHyphens/>
              <w:jc w:val="both"/>
              <w:rPr>
                <w:rFonts w:ascii="Times New Roman" w:hAnsi="Times New Roman" w:cs="Times New Roman"/>
              </w:rPr>
            </w:pPr>
            <w:r w:rsidRPr="00FF023B">
              <w:rPr>
                <w:rFonts w:ascii="Times New Roman" w:hAnsi="Times New Roman" w:cs="Times New Roman"/>
                <w:b/>
              </w:rPr>
              <w:t>Előtanulmányi feltételek</w:t>
            </w:r>
            <w:r w:rsidRPr="00FF023B">
              <w:rPr>
                <w:rFonts w:ascii="Times New Roman" w:hAnsi="Times New Roman" w:cs="Times New Roman"/>
              </w:rPr>
              <w:t>:</w:t>
            </w:r>
            <w:r w:rsidRPr="00FF023B">
              <w:rPr>
                <w:rFonts w:ascii="Times New Roman" w:hAnsi="Times New Roman" w:cs="Times New Roman"/>
                <w:i/>
              </w:rPr>
              <w:t xml:space="preserve"> </w:t>
            </w:r>
            <w:r w:rsidR="007870E6" w:rsidRPr="00FF023B">
              <w:rPr>
                <w:rFonts w:ascii="Times New Roman" w:hAnsi="Times New Roman" w:cs="Times New Roman"/>
              </w:rPr>
              <w:t>3</w:t>
            </w:r>
            <w:r w:rsidRPr="00FF023B">
              <w:rPr>
                <w:rFonts w:ascii="Times New Roman" w:hAnsi="Times New Roman" w:cs="Times New Roman"/>
              </w:rPr>
              <w:t xml:space="preserve"> féléves egymásra épülő tárgy</w:t>
            </w:r>
          </w:p>
        </w:tc>
      </w:tr>
      <w:tr w:rsidR="007608DD" w:rsidRPr="00FF023B" w:rsidTr="0020221F">
        <w:tc>
          <w:tcPr>
            <w:tcW w:w="949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rsidR="007608DD" w:rsidRPr="00FF023B" w:rsidRDefault="007608DD" w:rsidP="0020221F">
            <w:pPr>
              <w:suppressAutoHyphens/>
              <w:spacing w:before="60"/>
              <w:jc w:val="both"/>
              <w:rPr>
                <w:rFonts w:ascii="Times New Roman" w:hAnsi="Times New Roman" w:cs="Times New Roman"/>
                <w:b/>
              </w:rPr>
            </w:pPr>
            <w:r w:rsidRPr="00FF023B">
              <w:rPr>
                <w:rFonts w:ascii="Times New Roman" w:hAnsi="Times New Roman" w:cs="Times New Roman"/>
                <w:b/>
              </w:rPr>
              <w:t>Tantárgy-leírás: az elsajátítandó ismeretanyag tömör, ugyanakkor informáló leírása</w:t>
            </w:r>
          </w:p>
        </w:tc>
      </w:tr>
      <w:tr w:rsidR="007608DD" w:rsidRPr="00FF023B" w:rsidTr="0020221F">
        <w:trPr>
          <w:trHeight w:val="280"/>
        </w:trPr>
        <w:tc>
          <w:tcPr>
            <w:tcW w:w="949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rsidR="007608DD" w:rsidRPr="00FF023B" w:rsidRDefault="003F44E0" w:rsidP="003F44E0">
            <w:pPr>
              <w:suppressAutoHyphens/>
              <w:ind w:left="34"/>
              <w:rPr>
                <w:rFonts w:ascii="Times New Roman" w:hAnsi="Times New Roman" w:cs="Times New Roman"/>
              </w:rPr>
            </w:pPr>
            <w:r w:rsidRPr="00FF023B">
              <w:rPr>
                <w:rFonts w:ascii="Times New Roman" w:hAnsi="Times New Roman" w:cs="Times New Roman"/>
              </w:rPr>
              <w:t xml:space="preserve">A </w:t>
            </w:r>
            <w:r w:rsidRPr="00FF023B">
              <w:rPr>
                <w:rFonts w:ascii="Times New Roman" w:hAnsi="Times New Roman" w:cs="Times New Roman"/>
                <w:i/>
              </w:rPr>
              <w:t xml:space="preserve">Vizuális művészet </w:t>
            </w:r>
            <w:proofErr w:type="spellStart"/>
            <w:r w:rsidRPr="00FF023B">
              <w:rPr>
                <w:rFonts w:ascii="Times New Roman" w:hAnsi="Times New Roman" w:cs="Times New Roman"/>
                <w:i/>
              </w:rPr>
              <w:t>műtermi</w:t>
            </w:r>
            <w:proofErr w:type="spellEnd"/>
            <w:r w:rsidRPr="00FF023B">
              <w:rPr>
                <w:rFonts w:ascii="Times New Roman" w:hAnsi="Times New Roman" w:cs="Times New Roman"/>
                <w:i/>
              </w:rPr>
              <w:t xml:space="preserve"> gyakorlat 1.</w:t>
            </w:r>
            <w:r w:rsidRPr="00FF023B">
              <w:rPr>
                <w:rFonts w:ascii="Times New Roman" w:hAnsi="Times New Roman" w:cs="Times New Roman"/>
              </w:rPr>
              <w:t xml:space="preserve"> A tantárgy teljesítése során a hallgatók megismerik a vizuális művészeti alkotói tevékenységek során használt anyagokat, klasszikus, modern és kortárs technikákat. Az osztályvezető oktatók az interdiszciplináris szemléletmód gyakorlásán keresztül vezetik be a hallgatókat a különböző képzőművészeti ágazatok alkotó módszertanába és megismerik a változatos technikai lehetőségeket. A </w:t>
            </w:r>
            <w:proofErr w:type="spellStart"/>
            <w:r w:rsidRPr="00FF023B">
              <w:rPr>
                <w:rFonts w:ascii="Times New Roman" w:hAnsi="Times New Roman" w:cs="Times New Roman"/>
              </w:rPr>
              <w:t>műtermi</w:t>
            </w:r>
            <w:proofErr w:type="spellEnd"/>
            <w:r w:rsidRPr="00FF023B">
              <w:rPr>
                <w:rFonts w:ascii="Times New Roman" w:hAnsi="Times New Roman" w:cs="Times New Roman"/>
              </w:rPr>
              <w:t xml:space="preserve"> gyakorlat tantárgy különböző gyakorlatorientált workshoppal, intenzív szakmai héttel egészül ki, ahol a képzőművészeti ágazatok specifikus technikai és anyag és eszközhasználati kihívásait tapasztalják meg a hallgatók. Az egyetem a tradíció és a korszerűség közötti folytonosságot szem előtt tartva, a klasszikus és a jelenkori képzőművészet fő irányvonalainak tanulságait alkotóhelyzetben kívánja </w:t>
            </w:r>
            <w:proofErr w:type="spellStart"/>
            <w:r w:rsidRPr="00FF023B">
              <w:rPr>
                <w:rFonts w:ascii="Times New Roman" w:hAnsi="Times New Roman" w:cs="Times New Roman"/>
              </w:rPr>
              <w:t>elsajátíttatni</w:t>
            </w:r>
            <w:proofErr w:type="spellEnd"/>
            <w:r w:rsidRPr="00FF023B">
              <w:rPr>
                <w:rFonts w:ascii="Times New Roman" w:hAnsi="Times New Roman" w:cs="Times New Roman"/>
              </w:rPr>
              <w:t>. A tantárgy, az egyéni problémafelvetés ösztönzésével egyidejűleg, a vizuális művészeti szemlélet, valamint az anyagok, technikák és médiumok ismeretének együttes fejlesztését is szorgalmazza.</w:t>
            </w:r>
          </w:p>
        </w:tc>
      </w:tr>
      <w:tr w:rsidR="007608DD" w:rsidRPr="00FF023B" w:rsidTr="0020221F">
        <w:tc>
          <w:tcPr>
            <w:tcW w:w="949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7608DD" w:rsidRPr="00FF023B" w:rsidRDefault="007608DD" w:rsidP="0020221F">
            <w:pPr>
              <w:suppressAutoHyphens/>
              <w:ind w:right="-108"/>
              <w:rPr>
                <w:rFonts w:ascii="Times New Roman" w:hAnsi="Times New Roman" w:cs="Times New Roman"/>
                <w:b/>
              </w:rPr>
            </w:pPr>
            <w:r w:rsidRPr="00FF023B">
              <w:rPr>
                <w:rFonts w:ascii="Times New Roman" w:hAnsi="Times New Roman" w:cs="Times New Roman"/>
                <w:b/>
              </w:rPr>
              <w:t xml:space="preserve">A 2-5 legfontosabb </w:t>
            </w:r>
            <w:r w:rsidRPr="00FF023B">
              <w:rPr>
                <w:rFonts w:ascii="Times New Roman" w:hAnsi="Times New Roman" w:cs="Times New Roman"/>
                <w:b/>
                <w:i/>
              </w:rPr>
              <w:t>kötelező,</w:t>
            </w:r>
            <w:r w:rsidRPr="00FF023B">
              <w:rPr>
                <w:rFonts w:ascii="Times New Roman" w:hAnsi="Times New Roman" w:cs="Times New Roman"/>
                <w:b/>
              </w:rPr>
              <w:t xml:space="preserve"> illetve </w:t>
            </w:r>
            <w:r w:rsidRPr="00FF023B">
              <w:rPr>
                <w:rFonts w:ascii="Times New Roman" w:hAnsi="Times New Roman" w:cs="Times New Roman"/>
                <w:b/>
                <w:i/>
              </w:rPr>
              <w:t xml:space="preserve">ajánlott </w:t>
            </w:r>
            <w:r w:rsidRPr="00FF023B">
              <w:rPr>
                <w:rFonts w:ascii="Times New Roman" w:hAnsi="Times New Roman" w:cs="Times New Roman"/>
                <w:b/>
              </w:rPr>
              <w:t>irodalom (jegyzet, tankönyv) felsorolása bibliográfiai adatokkal (szerző, cím, kiadás adatai, (esetleg oldalak), ISBN)</w:t>
            </w:r>
          </w:p>
        </w:tc>
      </w:tr>
      <w:tr w:rsidR="007608DD" w:rsidRPr="00FF023B" w:rsidTr="0020221F">
        <w:tc>
          <w:tcPr>
            <w:tcW w:w="9498" w:type="dxa"/>
            <w:gridSpan w:val="2"/>
            <w:tcBorders>
              <w:top w:val="dotted"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rsidR="005F7CDC" w:rsidRPr="00FF023B" w:rsidRDefault="005F7CDC" w:rsidP="005F7CDC">
            <w:pPr>
              <w:pStyle w:val="Listaszerbekezds"/>
              <w:numPr>
                <w:ilvl w:val="0"/>
                <w:numId w:val="2"/>
              </w:numPr>
              <w:rPr>
                <w:sz w:val="22"/>
                <w:szCs w:val="22"/>
                <w:lang w:eastAsia="en-GB"/>
              </w:rPr>
            </w:pPr>
            <w:proofErr w:type="spellStart"/>
            <w:r w:rsidRPr="00FF023B">
              <w:rPr>
                <w:sz w:val="22"/>
                <w:szCs w:val="22"/>
                <w:lang w:eastAsia="en-GB"/>
              </w:rPr>
              <w:t>Godfrey</w:t>
            </w:r>
            <w:proofErr w:type="spellEnd"/>
            <w:r w:rsidRPr="00FF023B">
              <w:rPr>
                <w:sz w:val="22"/>
                <w:szCs w:val="22"/>
                <w:lang w:eastAsia="en-GB"/>
              </w:rPr>
              <w:t xml:space="preserve">, Tony: </w:t>
            </w:r>
            <w:r w:rsidRPr="00FF023B">
              <w:rPr>
                <w:i/>
                <w:iCs/>
                <w:sz w:val="22"/>
                <w:szCs w:val="22"/>
                <w:lang w:eastAsia="en-GB"/>
              </w:rPr>
              <w:t xml:space="preserve">The Story of </w:t>
            </w:r>
            <w:proofErr w:type="spellStart"/>
            <w:r w:rsidRPr="00FF023B">
              <w:rPr>
                <w:i/>
                <w:iCs/>
                <w:sz w:val="22"/>
                <w:szCs w:val="22"/>
                <w:lang w:eastAsia="en-GB"/>
              </w:rPr>
              <w:t>Contemporary</w:t>
            </w:r>
            <w:proofErr w:type="spellEnd"/>
            <w:r w:rsidRPr="00FF023B">
              <w:rPr>
                <w:i/>
                <w:iCs/>
                <w:sz w:val="22"/>
                <w:szCs w:val="22"/>
                <w:lang w:eastAsia="en-GB"/>
              </w:rPr>
              <w:t xml:space="preserve"> Art</w:t>
            </w:r>
            <w:r w:rsidRPr="00FF023B">
              <w:rPr>
                <w:sz w:val="22"/>
                <w:szCs w:val="22"/>
                <w:lang w:eastAsia="en-GB"/>
              </w:rPr>
              <w:t xml:space="preserve">. London, </w:t>
            </w:r>
            <w:proofErr w:type="spellStart"/>
            <w:r w:rsidRPr="00FF023B">
              <w:rPr>
                <w:sz w:val="22"/>
                <w:szCs w:val="22"/>
                <w:lang w:eastAsia="en-GB"/>
              </w:rPr>
              <w:t>Thames</w:t>
            </w:r>
            <w:proofErr w:type="spellEnd"/>
            <w:r w:rsidRPr="00FF023B">
              <w:rPr>
                <w:sz w:val="22"/>
                <w:szCs w:val="22"/>
                <w:lang w:eastAsia="en-GB"/>
              </w:rPr>
              <w:t xml:space="preserve"> &amp; Hudson, 2020. ISBN13 9780500239872</w:t>
            </w:r>
          </w:p>
          <w:p w:rsidR="005F7CDC" w:rsidRPr="00FF023B" w:rsidRDefault="005F7CDC" w:rsidP="005F7CDC">
            <w:pPr>
              <w:pStyle w:val="Listaszerbekezds"/>
              <w:numPr>
                <w:ilvl w:val="0"/>
                <w:numId w:val="2"/>
              </w:numPr>
              <w:rPr>
                <w:sz w:val="22"/>
                <w:szCs w:val="22"/>
                <w:lang w:eastAsia="en-GB"/>
              </w:rPr>
            </w:pPr>
            <w:r w:rsidRPr="00FF023B">
              <w:rPr>
                <w:sz w:val="22"/>
                <w:szCs w:val="22"/>
                <w:lang w:eastAsia="en-GB"/>
              </w:rPr>
              <w:t xml:space="preserve">Foster, Hal – </w:t>
            </w:r>
            <w:proofErr w:type="spellStart"/>
            <w:r w:rsidRPr="00FF023B">
              <w:rPr>
                <w:sz w:val="22"/>
                <w:szCs w:val="22"/>
                <w:lang w:eastAsia="en-GB"/>
              </w:rPr>
              <w:t>Krauss</w:t>
            </w:r>
            <w:proofErr w:type="spellEnd"/>
            <w:r w:rsidRPr="00FF023B">
              <w:rPr>
                <w:sz w:val="22"/>
                <w:szCs w:val="22"/>
                <w:lang w:eastAsia="en-GB"/>
              </w:rPr>
              <w:t xml:space="preserve">, </w:t>
            </w:r>
            <w:proofErr w:type="spellStart"/>
            <w:r w:rsidRPr="00FF023B">
              <w:rPr>
                <w:sz w:val="22"/>
                <w:szCs w:val="22"/>
                <w:lang w:eastAsia="en-GB"/>
              </w:rPr>
              <w:t>Rosalind</w:t>
            </w:r>
            <w:proofErr w:type="spellEnd"/>
            <w:r w:rsidRPr="00FF023B">
              <w:rPr>
                <w:sz w:val="22"/>
                <w:szCs w:val="22"/>
                <w:lang w:eastAsia="en-GB"/>
              </w:rPr>
              <w:t xml:space="preserve">: </w:t>
            </w:r>
            <w:r w:rsidRPr="00FF023B">
              <w:rPr>
                <w:i/>
                <w:iCs/>
                <w:sz w:val="22"/>
                <w:szCs w:val="22"/>
                <w:lang w:eastAsia="en-GB"/>
              </w:rPr>
              <w:t xml:space="preserve">Art </w:t>
            </w:r>
            <w:proofErr w:type="spellStart"/>
            <w:r w:rsidRPr="00FF023B">
              <w:rPr>
                <w:i/>
                <w:iCs/>
                <w:sz w:val="22"/>
                <w:szCs w:val="22"/>
                <w:lang w:eastAsia="en-GB"/>
              </w:rPr>
              <w:t>Since</w:t>
            </w:r>
            <w:proofErr w:type="spellEnd"/>
            <w:r w:rsidRPr="00FF023B">
              <w:rPr>
                <w:i/>
                <w:iCs/>
                <w:sz w:val="22"/>
                <w:szCs w:val="22"/>
                <w:lang w:eastAsia="en-GB"/>
              </w:rPr>
              <w:t xml:space="preserve"> 1900: </w:t>
            </w:r>
            <w:proofErr w:type="spellStart"/>
            <w:r w:rsidRPr="00FF023B">
              <w:rPr>
                <w:i/>
                <w:iCs/>
                <w:sz w:val="22"/>
                <w:szCs w:val="22"/>
                <w:lang w:eastAsia="en-GB"/>
              </w:rPr>
              <w:t>Modernism</w:t>
            </w:r>
            <w:proofErr w:type="spellEnd"/>
            <w:r w:rsidRPr="00FF023B">
              <w:rPr>
                <w:i/>
                <w:iCs/>
                <w:sz w:val="22"/>
                <w:szCs w:val="22"/>
                <w:lang w:eastAsia="en-GB"/>
              </w:rPr>
              <w:t xml:space="preserve"> · </w:t>
            </w:r>
            <w:proofErr w:type="spellStart"/>
            <w:r w:rsidRPr="00FF023B">
              <w:rPr>
                <w:i/>
                <w:iCs/>
                <w:sz w:val="22"/>
                <w:szCs w:val="22"/>
                <w:lang w:eastAsia="en-GB"/>
              </w:rPr>
              <w:t>Antimodernism</w:t>
            </w:r>
            <w:proofErr w:type="spellEnd"/>
            <w:r w:rsidRPr="00FF023B">
              <w:rPr>
                <w:i/>
                <w:iCs/>
                <w:sz w:val="22"/>
                <w:szCs w:val="22"/>
                <w:lang w:eastAsia="en-GB"/>
              </w:rPr>
              <w:t xml:space="preserve"> · </w:t>
            </w:r>
            <w:proofErr w:type="spellStart"/>
            <w:r w:rsidRPr="00FF023B">
              <w:rPr>
                <w:i/>
                <w:iCs/>
                <w:sz w:val="22"/>
                <w:szCs w:val="22"/>
                <w:lang w:eastAsia="en-GB"/>
              </w:rPr>
              <w:t>Postmodernism</w:t>
            </w:r>
            <w:proofErr w:type="spellEnd"/>
            <w:r w:rsidRPr="00FF023B">
              <w:rPr>
                <w:sz w:val="22"/>
                <w:szCs w:val="22"/>
                <w:lang w:eastAsia="en-GB"/>
              </w:rPr>
              <w:t xml:space="preserve">. London, </w:t>
            </w:r>
            <w:proofErr w:type="spellStart"/>
            <w:r w:rsidRPr="00FF023B">
              <w:rPr>
                <w:sz w:val="22"/>
                <w:szCs w:val="22"/>
                <w:lang w:eastAsia="en-GB"/>
              </w:rPr>
              <w:t>Thames</w:t>
            </w:r>
            <w:proofErr w:type="spellEnd"/>
            <w:r w:rsidRPr="00FF023B">
              <w:rPr>
                <w:sz w:val="22"/>
                <w:szCs w:val="22"/>
                <w:lang w:eastAsia="en-GB"/>
              </w:rPr>
              <w:t xml:space="preserve"> &amp; Hudson, 2016. ISBN 9780500239537</w:t>
            </w:r>
          </w:p>
          <w:p w:rsidR="005F7CDC" w:rsidRPr="00FF023B" w:rsidRDefault="005F7CDC" w:rsidP="005F7CDC">
            <w:pPr>
              <w:pStyle w:val="Listaszerbekezds"/>
              <w:numPr>
                <w:ilvl w:val="0"/>
                <w:numId w:val="2"/>
              </w:numPr>
              <w:rPr>
                <w:sz w:val="22"/>
                <w:szCs w:val="22"/>
                <w:lang w:eastAsia="en-GB"/>
              </w:rPr>
            </w:pPr>
            <w:r w:rsidRPr="00FF023B">
              <w:rPr>
                <w:sz w:val="22"/>
                <w:szCs w:val="22"/>
                <w:lang w:eastAsia="en-GB"/>
              </w:rPr>
              <w:t xml:space="preserve">Hudson, Suzanne: </w:t>
            </w:r>
            <w:proofErr w:type="spellStart"/>
            <w:r w:rsidRPr="00FF023B">
              <w:rPr>
                <w:i/>
                <w:iCs/>
                <w:sz w:val="22"/>
                <w:szCs w:val="22"/>
                <w:lang w:eastAsia="en-GB"/>
              </w:rPr>
              <w:t>Painting</w:t>
            </w:r>
            <w:proofErr w:type="spellEnd"/>
            <w:r w:rsidRPr="00FF023B">
              <w:rPr>
                <w:i/>
                <w:iCs/>
                <w:sz w:val="22"/>
                <w:szCs w:val="22"/>
                <w:lang w:eastAsia="en-GB"/>
              </w:rPr>
              <w:t xml:space="preserve"> </w:t>
            </w:r>
            <w:proofErr w:type="spellStart"/>
            <w:r w:rsidRPr="00FF023B">
              <w:rPr>
                <w:i/>
                <w:iCs/>
                <w:sz w:val="22"/>
                <w:szCs w:val="22"/>
                <w:lang w:eastAsia="en-GB"/>
              </w:rPr>
              <w:t>Now</w:t>
            </w:r>
            <w:proofErr w:type="spellEnd"/>
            <w:r w:rsidRPr="00FF023B">
              <w:rPr>
                <w:sz w:val="22"/>
                <w:szCs w:val="22"/>
                <w:lang w:eastAsia="en-GB"/>
              </w:rPr>
              <w:t xml:space="preserve">. </w:t>
            </w:r>
            <w:proofErr w:type="spellStart"/>
            <w:r w:rsidRPr="00FF023B">
              <w:rPr>
                <w:sz w:val="22"/>
                <w:szCs w:val="22"/>
                <w:lang w:eastAsia="en-GB"/>
              </w:rPr>
              <w:t>Thames</w:t>
            </w:r>
            <w:proofErr w:type="spellEnd"/>
            <w:r w:rsidRPr="00FF023B">
              <w:rPr>
                <w:sz w:val="22"/>
                <w:szCs w:val="22"/>
                <w:lang w:eastAsia="en-GB"/>
              </w:rPr>
              <w:t xml:space="preserve"> &amp; Hudson, 2015. ISBN 9780500239261</w:t>
            </w:r>
          </w:p>
          <w:p w:rsidR="005F7CDC" w:rsidRPr="00FF023B" w:rsidRDefault="005F7CDC" w:rsidP="005F7CDC">
            <w:pPr>
              <w:pStyle w:val="Listaszerbekezds"/>
              <w:numPr>
                <w:ilvl w:val="0"/>
                <w:numId w:val="2"/>
              </w:numPr>
              <w:rPr>
                <w:sz w:val="22"/>
                <w:szCs w:val="22"/>
                <w:lang w:eastAsia="en-GB"/>
              </w:rPr>
            </w:pPr>
            <w:proofErr w:type="spellStart"/>
            <w:r w:rsidRPr="00FF023B">
              <w:rPr>
                <w:sz w:val="22"/>
                <w:szCs w:val="22"/>
                <w:lang w:eastAsia="en-GB"/>
              </w:rPr>
              <w:t>Causey</w:t>
            </w:r>
            <w:proofErr w:type="spellEnd"/>
            <w:r w:rsidRPr="00FF023B">
              <w:rPr>
                <w:sz w:val="22"/>
                <w:szCs w:val="22"/>
                <w:lang w:eastAsia="en-GB"/>
              </w:rPr>
              <w:t xml:space="preserve">, Andrew: </w:t>
            </w:r>
            <w:proofErr w:type="spellStart"/>
            <w:r w:rsidRPr="00FF023B">
              <w:rPr>
                <w:i/>
                <w:iCs/>
                <w:sz w:val="22"/>
                <w:szCs w:val="22"/>
                <w:lang w:eastAsia="en-GB"/>
              </w:rPr>
              <w:t>Sculpture</w:t>
            </w:r>
            <w:proofErr w:type="spellEnd"/>
            <w:r w:rsidRPr="00FF023B">
              <w:rPr>
                <w:i/>
                <w:iCs/>
                <w:sz w:val="22"/>
                <w:szCs w:val="22"/>
                <w:lang w:eastAsia="en-GB"/>
              </w:rPr>
              <w:t xml:space="preserve"> </w:t>
            </w:r>
            <w:proofErr w:type="spellStart"/>
            <w:r w:rsidRPr="00FF023B">
              <w:rPr>
                <w:i/>
                <w:iCs/>
                <w:sz w:val="22"/>
                <w:szCs w:val="22"/>
                <w:lang w:eastAsia="en-GB"/>
              </w:rPr>
              <w:t>since</w:t>
            </w:r>
            <w:proofErr w:type="spellEnd"/>
            <w:r w:rsidRPr="00FF023B">
              <w:rPr>
                <w:i/>
                <w:iCs/>
                <w:sz w:val="22"/>
                <w:szCs w:val="22"/>
                <w:lang w:eastAsia="en-GB"/>
              </w:rPr>
              <w:t xml:space="preserve"> 1945</w:t>
            </w:r>
            <w:r w:rsidRPr="00FF023B">
              <w:rPr>
                <w:sz w:val="22"/>
                <w:szCs w:val="22"/>
                <w:lang w:eastAsia="en-GB"/>
              </w:rPr>
              <w:t>. Oxford University Press, 1998. ISBN 978-0192842053</w:t>
            </w:r>
          </w:p>
          <w:p w:rsidR="007608DD" w:rsidRPr="00FF023B" w:rsidRDefault="007608DD" w:rsidP="0020221F">
            <w:pPr>
              <w:rPr>
                <w:rFonts w:ascii="Times New Roman" w:hAnsi="Times New Roman" w:cs="Times New Roman"/>
                <w:lang w:eastAsia="en-GB"/>
              </w:rPr>
            </w:pPr>
          </w:p>
        </w:tc>
      </w:tr>
      <w:tr w:rsidR="007608DD" w:rsidRPr="00FF023B" w:rsidTr="0020221F">
        <w:tc>
          <w:tcPr>
            <w:tcW w:w="949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7608DD" w:rsidRPr="00FF023B" w:rsidRDefault="007608DD" w:rsidP="0020221F">
            <w:pPr>
              <w:suppressAutoHyphens/>
              <w:jc w:val="both"/>
              <w:rPr>
                <w:rFonts w:ascii="Times New Roman" w:hAnsi="Times New Roman" w:cs="Times New Roman"/>
                <w:b/>
              </w:rPr>
            </w:pPr>
            <w:r w:rsidRPr="00FF023B">
              <w:rPr>
                <w:rFonts w:ascii="Times New Roman" w:hAnsi="Times New Roman" w:cs="Times New Roman"/>
                <w:b/>
              </w:rPr>
              <w:lastRenderedPageBreak/>
              <w:t>Azoknak az előírt szakmai kompetenciáknak, kompetencia-elemeknek</w:t>
            </w:r>
            <w:r w:rsidR="005F7CDC" w:rsidRPr="00FF023B">
              <w:rPr>
                <w:rFonts w:ascii="Times New Roman" w:hAnsi="Times New Roman" w:cs="Times New Roman"/>
                <w:b/>
              </w:rPr>
              <w:t xml:space="preserve"> </w:t>
            </w:r>
            <w:r w:rsidRPr="00FF023B">
              <w:rPr>
                <w:rFonts w:ascii="Times New Roman" w:hAnsi="Times New Roman" w:cs="Times New Roman"/>
                <w:b/>
              </w:rPr>
              <w:t>a felsorolása, amelyek kialakításához a tantárgy jellemzően, érdemben hozzájárul</w:t>
            </w:r>
          </w:p>
          <w:p w:rsidR="005F7CDC" w:rsidRPr="00FF023B" w:rsidRDefault="005F7CDC" w:rsidP="005F7CDC">
            <w:pPr>
              <w:suppressAutoHyphens/>
              <w:jc w:val="both"/>
              <w:rPr>
                <w:rFonts w:ascii="Times New Roman" w:hAnsi="Times New Roman" w:cs="Times New Roman"/>
                <w:b/>
                <w:kern w:val="2"/>
                <w14:ligatures w14:val="standardContextual"/>
              </w:rPr>
            </w:pPr>
            <w:r w:rsidRPr="00FF023B">
              <w:rPr>
                <w:rFonts w:ascii="Times New Roman" w:hAnsi="Times New Roman" w:cs="Times New Roman"/>
                <w:b/>
                <w:kern w:val="2"/>
                <w14:ligatures w14:val="standardContextual"/>
              </w:rPr>
              <w:t>a</w:t>
            </w:r>
            <w:r w:rsidRPr="00FF023B">
              <w:rPr>
                <w:rFonts w:ascii="Times New Roman" w:hAnsi="Times New Roman" w:cs="Times New Roman"/>
                <w:b/>
                <w:i/>
                <w:kern w:val="2"/>
                <w14:ligatures w14:val="standardContextual"/>
              </w:rPr>
              <w:t>) tudása</w:t>
            </w:r>
            <w:r w:rsidRPr="00FF023B">
              <w:rPr>
                <w:rFonts w:ascii="Times New Roman" w:hAnsi="Times New Roman" w:cs="Times New Roman"/>
                <w:b/>
                <w:kern w:val="2"/>
                <w14:ligatures w14:val="standardContextual"/>
              </w:rPr>
              <w:t xml:space="preserve">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Megérti az alkotói folyamatát segítő képzőművészeti, művészettörténeti, művészetelméleti analógiákat.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Azonosítja az adott vizuális jelenség síkban és térben való kifejezéséhez adekvát képzőművészeti technikát, anyagot, kifejezési eszközt és módot.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Ismeri az európai </w:t>
            </w:r>
            <w:proofErr w:type="spellStart"/>
            <w:r w:rsidRPr="00FF023B">
              <w:rPr>
                <w:rFonts w:ascii="Times New Roman" w:hAnsi="Times New Roman" w:cs="Times New Roman"/>
                <w:kern w:val="2"/>
                <w14:ligatures w14:val="standardContextual"/>
              </w:rPr>
              <w:t>összművészeti</w:t>
            </w:r>
            <w:proofErr w:type="spellEnd"/>
            <w:r w:rsidRPr="00FF023B">
              <w:rPr>
                <w:rFonts w:ascii="Times New Roman" w:hAnsi="Times New Roman" w:cs="Times New Roman"/>
                <w:kern w:val="2"/>
                <w14:ligatures w14:val="standardContextual"/>
              </w:rPr>
              <w:t xml:space="preserve"> jelenségek történeti és kortárs eredményeit.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Átfogó ismerete van a kulturális különbségekből adódó eltérésekről a képzőművészet területén.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Ismeri a képzőművészetben megjelenő különböző technikákat (rajzi, festészeti, grafikai, szobrászati, installációs módszerek, mediális technikák, eljárások és anyaghasználat) és ezek alkalmazásának alapvető elveit, amelyek szükségesek az adott és más képzési területen folyó mesterképzésbe való belépéshez.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Képes kreatív problémák megoldására az általa választott képzőművészeti tevékenység közben, beleértve a kutatást és a technikai, esztétikai és koncepcionális tudás szintézisét is.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Professzionálisan kifejezi a saját műalkotásain keresztül a gondolatait, elképzeléseit és érzéseit.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Rendelkezik releváns véleménnyel a saját területén készült műalkotásokról, beleértve saját művét is; kritikai érzéke finom és szofisztikált; felhasználja a szakma terminológiáját.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Tájékozott a kutatási módszertanokban, ismeri a szakmai forrásgyűjtés lehetőségeit.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Felismeri egy adott alkotói gyakorlat eredetiségét, művészettörténeti jelentőségét. </w:t>
            </w:r>
          </w:p>
          <w:p w:rsidR="005F7CDC" w:rsidRPr="00FF023B" w:rsidRDefault="005F7CDC" w:rsidP="005F7CDC">
            <w:pPr>
              <w:suppressAutoHyphens/>
              <w:jc w:val="both"/>
              <w:rPr>
                <w:rFonts w:ascii="Times New Roman" w:hAnsi="Times New Roman" w:cs="Times New Roman"/>
                <w:b/>
                <w:i/>
                <w:kern w:val="2"/>
                <w14:ligatures w14:val="standardContextual"/>
              </w:rPr>
            </w:pPr>
            <w:r w:rsidRPr="00FF023B">
              <w:rPr>
                <w:rFonts w:ascii="Times New Roman" w:hAnsi="Times New Roman" w:cs="Times New Roman"/>
                <w:b/>
                <w:kern w:val="2"/>
                <w14:ligatures w14:val="standardContextual"/>
              </w:rPr>
              <w:t xml:space="preserve">b) </w:t>
            </w:r>
            <w:r w:rsidRPr="00FF023B">
              <w:rPr>
                <w:rFonts w:ascii="Times New Roman" w:hAnsi="Times New Roman" w:cs="Times New Roman"/>
                <w:b/>
                <w:i/>
                <w:kern w:val="2"/>
                <w14:ligatures w14:val="standardContextual"/>
              </w:rPr>
              <w:t xml:space="preserve">képességei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Alapvető képességekkel rendelkezik, melyeket képzőművészeti, alkotói gyakorlata során önállóan, tudatosan és kreatív módon alkalmaz, és melyek révén képes az európai hagyományokból fakadó konvenciók és kérdésfelvetések azonosítására.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Tanulmányai során szerzett alapszintű tapasztalataira támaszkodva képes a vizuális művészetek befogadására, új alkotások létrehozására.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Képzőművészeti elképzeléseinek megvalósításához képes korszerű technológiákat felhasználni.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Alapszinten képes használni képzőművészeti tevékenysége alapjául szolgáló – a saját tradícióiból eredő, és az európai művészet kínálta – technikákat, anyagi és információs forrásokat, rendelkezik az európai tradíció alapvető rajzi ábrázolási módszertanával és kifejezőeszközeivel, valamint képes használni az alkotói tevékenységében a festészet, szobrászat, grafika, fotó, installációs művészet, </w:t>
            </w:r>
            <w:proofErr w:type="spellStart"/>
            <w:r w:rsidRPr="00FF023B">
              <w:rPr>
                <w:rFonts w:ascii="Times New Roman" w:hAnsi="Times New Roman" w:cs="Times New Roman"/>
                <w:kern w:val="2"/>
                <w14:ligatures w14:val="standardContextual"/>
              </w:rPr>
              <w:t>szcenográfia</w:t>
            </w:r>
            <w:proofErr w:type="spellEnd"/>
            <w:r w:rsidRPr="00FF023B">
              <w:rPr>
                <w:rFonts w:ascii="Times New Roman" w:hAnsi="Times New Roman" w:cs="Times New Roman"/>
                <w:kern w:val="2"/>
                <w14:ligatures w14:val="standardContextual"/>
              </w:rPr>
              <w:t xml:space="preserve">, </w:t>
            </w:r>
            <w:proofErr w:type="spellStart"/>
            <w:r w:rsidRPr="00FF023B">
              <w:rPr>
                <w:rFonts w:ascii="Times New Roman" w:hAnsi="Times New Roman" w:cs="Times New Roman"/>
                <w:kern w:val="2"/>
                <w14:ligatures w14:val="standardContextual"/>
              </w:rPr>
              <w:t>intermédia</w:t>
            </w:r>
            <w:proofErr w:type="spellEnd"/>
            <w:r w:rsidRPr="00FF023B">
              <w:rPr>
                <w:rFonts w:ascii="Times New Roman" w:hAnsi="Times New Roman" w:cs="Times New Roman"/>
                <w:kern w:val="2"/>
                <w14:ligatures w14:val="standardContextual"/>
              </w:rPr>
              <w:t xml:space="preserve"> művészeti eszköztárát, technikáit.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Képes felismerni képzőművészeti tevékenységének infrastrukturális és anyagi szükségleteit, valamint művei megvalósításának feltételrendszerét, ezek alapján tervezi és valósítja meg alkotásait. </w:t>
            </w:r>
          </w:p>
          <w:p w:rsidR="005F7CDC" w:rsidRPr="00FF023B" w:rsidRDefault="005F7CDC" w:rsidP="005F7CDC">
            <w:pPr>
              <w:suppressAutoHyphens/>
              <w:jc w:val="both"/>
              <w:rPr>
                <w:rFonts w:ascii="Times New Roman" w:hAnsi="Times New Roman" w:cs="Times New Roman"/>
                <w:b/>
                <w:kern w:val="2"/>
                <w14:ligatures w14:val="standardContextual"/>
              </w:rPr>
            </w:pPr>
            <w:r w:rsidRPr="00FF023B">
              <w:rPr>
                <w:rFonts w:ascii="Times New Roman" w:hAnsi="Times New Roman" w:cs="Times New Roman"/>
                <w:b/>
                <w:kern w:val="2"/>
                <w14:ligatures w14:val="standardContextual"/>
              </w:rPr>
              <w:t xml:space="preserve">c) </w:t>
            </w:r>
            <w:r w:rsidRPr="00FF023B">
              <w:rPr>
                <w:rFonts w:ascii="Times New Roman" w:hAnsi="Times New Roman" w:cs="Times New Roman"/>
                <w:b/>
                <w:i/>
                <w:kern w:val="2"/>
                <w14:ligatures w14:val="standardContextual"/>
              </w:rPr>
              <w:t xml:space="preserve">attitűdje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Alapvető ismereteire támaszkodva kritikai megértéssel viszonyul a kortárs képzőművészeti alkotásokhoz. Ezt a tudását folyamatosan és tudatosan </w:t>
            </w:r>
            <w:proofErr w:type="spellStart"/>
            <w:r w:rsidRPr="00FF023B">
              <w:rPr>
                <w:rFonts w:ascii="Times New Roman" w:hAnsi="Times New Roman" w:cs="Times New Roman"/>
                <w:kern w:val="2"/>
                <w14:ligatures w14:val="standardContextual"/>
              </w:rPr>
              <w:t>továbbfejleszti</w:t>
            </w:r>
            <w:proofErr w:type="spellEnd"/>
            <w:r w:rsidRPr="00FF023B">
              <w:rPr>
                <w:rFonts w:ascii="Times New Roman" w:hAnsi="Times New Roman" w:cs="Times New Roman"/>
                <w:kern w:val="2"/>
                <w14:ligatures w14:val="standardContextual"/>
              </w:rPr>
              <w:t xml:space="preserve">.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Nyitott az európai, és azon belül a magyar kortárs képzőművészeti alkotások kifejezési eszközeinek és módszereinek feltérképezésére; az így szerzett ismereteit kreatívan építi be az alkotófolyamatba.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lastRenderedPageBreak/>
              <w:t xml:space="preserve">- Nyitott a társművészetek és minden olyan szakterület felé, melyek gazdagítják és adekváttá tehetik képzőművészeti elképzeléseinek megjelenítését; az együttműködésben megvalósuló alkotómunkában konstruktív, hatékony kommunikációra képes. </w:t>
            </w:r>
          </w:p>
          <w:p w:rsidR="005F7CDC" w:rsidRPr="00FF023B" w:rsidRDefault="005F7CDC" w:rsidP="005F7CDC">
            <w:pPr>
              <w:suppressAutoHyphens/>
              <w:jc w:val="both"/>
              <w:rPr>
                <w:rFonts w:ascii="Times New Roman" w:hAnsi="Times New Roman" w:cs="Times New Roman"/>
                <w:b/>
                <w:i/>
                <w:kern w:val="2"/>
                <w14:ligatures w14:val="standardContextual"/>
              </w:rPr>
            </w:pPr>
            <w:r w:rsidRPr="00FF023B">
              <w:rPr>
                <w:rFonts w:ascii="Times New Roman" w:hAnsi="Times New Roman" w:cs="Times New Roman"/>
                <w:b/>
                <w:kern w:val="2"/>
                <w14:ligatures w14:val="standardContextual"/>
              </w:rPr>
              <w:t xml:space="preserve">d) </w:t>
            </w:r>
            <w:r w:rsidRPr="00FF023B">
              <w:rPr>
                <w:rFonts w:ascii="Times New Roman" w:hAnsi="Times New Roman" w:cs="Times New Roman"/>
                <w:b/>
                <w:i/>
                <w:kern w:val="2"/>
                <w14:ligatures w14:val="standardContextual"/>
              </w:rPr>
              <w:t xml:space="preserve">autonómiája és felelőssége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Szakmai orientációja kialakult; kultúrkörének és az európai tradíciónak ötvözetéből önálló eszmeiségű vizuális műveket alkot.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w:t>
            </w:r>
            <w:proofErr w:type="spellStart"/>
            <w:r w:rsidRPr="00FF023B">
              <w:rPr>
                <w:rFonts w:ascii="Times New Roman" w:hAnsi="Times New Roman" w:cs="Times New Roman"/>
                <w:kern w:val="2"/>
                <w14:ligatures w14:val="standardContextual"/>
              </w:rPr>
              <w:t>Összművészeti</w:t>
            </w:r>
            <w:proofErr w:type="spellEnd"/>
            <w:r w:rsidRPr="00FF023B">
              <w:rPr>
                <w:rFonts w:ascii="Times New Roman" w:hAnsi="Times New Roman" w:cs="Times New Roman"/>
                <w:kern w:val="2"/>
                <w14:ligatures w14:val="standardContextual"/>
              </w:rPr>
              <w:t xml:space="preserve">, illetve multidiszciplináris tevékenységekben is autonóm módon és felelősen tevékenykedik. </w:t>
            </w:r>
          </w:p>
          <w:p w:rsidR="005F7CDC" w:rsidRPr="00FF023B" w:rsidRDefault="005F7CDC" w:rsidP="005F7CDC">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Tisztában van vele, hogy képzőművészként közéleti szerepet vállal, szűkebb és tágabb közösségekre hatással van. </w:t>
            </w:r>
          </w:p>
          <w:p w:rsidR="005F7CDC" w:rsidRPr="00FF023B" w:rsidRDefault="005F7CDC" w:rsidP="0020221F">
            <w:pPr>
              <w:suppressAutoHyphens/>
              <w:jc w:val="both"/>
              <w:rPr>
                <w:rFonts w:ascii="Times New Roman" w:hAnsi="Times New Roman" w:cs="Times New Roman"/>
                <w:kern w:val="2"/>
                <w14:ligatures w14:val="standardContextual"/>
              </w:rPr>
            </w:pPr>
            <w:r w:rsidRPr="00FF023B">
              <w:rPr>
                <w:rFonts w:ascii="Times New Roman" w:hAnsi="Times New Roman" w:cs="Times New Roman"/>
                <w:kern w:val="2"/>
                <w14:ligatures w14:val="standardContextual"/>
              </w:rPr>
              <w:t xml:space="preserve">- Képzőművészi munkásságáról szóban és írásban is felelősségteljesen kommunikál. </w:t>
            </w:r>
          </w:p>
        </w:tc>
      </w:tr>
      <w:tr w:rsidR="007608DD" w:rsidRPr="00FF023B" w:rsidTr="0020221F">
        <w:trPr>
          <w:trHeight w:val="338"/>
        </w:trPr>
        <w:tc>
          <w:tcPr>
            <w:tcW w:w="9498" w:type="dxa"/>
            <w:gridSpan w:val="2"/>
            <w:shd w:val="clear" w:color="auto" w:fill="auto"/>
            <w:tcMar>
              <w:top w:w="57" w:type="dxa"/>
              <w:bottom w:w="57" w:type="dxa"/>
            </w:tcMar>
          </w:tcPr>
          <w:p w:rsidR="007608DD" w:rsidRPr="00FF023B" w:rsidRDefault="007608DD" w:rsidP="0020221F">
            <w:pPr>
              <w:suppressAutoHyphens/>
              <w:spacing w:before="60"/>
              <w:jc w:val="both"/>
              <w:rPr>
                <w:rFonts w:ascii="Times New Roman" w:hAnsi="Times New Roman" w:cs="Times New Roman"/>
                <w:color w:val="FF0000"/>
              </w:rPr>
            </w:pPr>
            <w:r w:rsidRPr="00FF023B">
              <w:rPr>
                <w:rFonts w:ascii="Times New Roman" w:hAnsi="Times New Roman" w:cs="Times New Roman"/>
                <w:b/>
              </w:rPr>
              <w:lastRenderedPageBreak/>
              <w:t xml:space="preserve">Tantárgy felelőse: </w:t>
            </w:r>
            <w:r w:rsidR="00BF0807" w:rsidRPr="00FF023B">
              <w:rPr>
                <w:rFonts w:ascii="Times New Roman" w:hAnsi="Times New Roman" w:cs="Times New Roman"/>
              </w:rPr>
              <w:t xml:space="preserve">Dr. </w:t>
            </w:r>
            <w:proofErr w:type="spellStart"/>
            <w:r w:rsidR="00BF0807" w:rsidRPr="00FF023B">
              <w:rPr>
                <w:rFonts w:ascii="Times New Roman" w:hAnsi="Times New Roman" w:cs="Times New Roman"/>
              </w:rPr>
              <w:t>habil</w:t>
            </w:r>
            <w:proofErr w:type="spellEnd"/>
            <w:r w:rsidR="00BF0807" w:rsidRPr="00FF023B">
              <w:rPr>
                <w:rFonts w:ascii="Times New Roman" w:hAnsi="Times New Roman" w:cs="Times New Roman"/>
              </w:rPr>
              <w:t xml:space="preserve"> Orosz Klára egyetemi docens</w:t>
            </w:r>
            <w:r w:rsidR="00C111C5" w:rsidRPr="00FF023B">
              <w:rPr>
                <w:rFonts w:ascii="Times New Roman" w:hAnsi="Times New Roman" w:cs="Times New Roman"/>
              </w:rPr>
              <w:t xml:space="preserve"> (I-2, I-3)</w:t>
            </w:r>
            <w:r w:rsidR="00BF0807" w:rsidRPr="00FF023B">
              <w:rPr>
                <w:rFonts w:ascii="Times New Roman" w:hAnsi="Times New Roman" w:cs="Times New Roman"/>
              </w:rPr>
              <w:t xml:space="preserve"> és Balázs József Tamás DLA </w:t>
            </w:r>
            <w:r w:rsidR="00C111C5" w:rsidRPr="00FF023B">
              <w:rPr>
                <w:rFonts w:ascii="Times New Roman" w:hAnsi="Times New Roman" w:cs="Times New Roman"/>
              </w:rPr>
              <w:t xml:space="preserve">egyetemi </w:t>
            </w:r>
            <w:r w:rsidR="00BF0807" w:rsidRPr="00FF023B">
              <w:rPr>
                <w:rFonts w:ascii="Times New Roman" w:hAnsi="Times New Roman" w:cs="Times New Roman"/>
              </w:rPr>
              <w:t>adjunktus</w:t>
            </w:r>
            <w:r w:rsidR="00C111C5" w:rsidRPr="00FF023B">
              <w:rPr>
                <w:rFonts w:ascii="Times New Roman" w:hAnsi="Times New Roman" w:cs="Times New Roman"/>
              </w:rPr>
              <w:t xml:space="preserve"> (I-1)</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suppressAutoHyphens/>
              <w:jc w:val="both"/>
              <w:rPr>
                <w:rFonts w:ascii="Times New Roman" w:hAnsi="Times New Roman" w:cs="Times New Roman"/>
              </w:rPr>
            </w:pPr>
            <w:r w:rsidRPr="00FF023B">
              <w:rPr>
                <w:rFonts w:ascii="Times New Roman" w:hAnsi="Times New Roman" w:cs="Times New Roman"/>
                <w:b/>
              </w:rPr>
              <w:t>Tantárgy oktatásába bevont oktató(k):</w:t>
            </w:r>
            <w:r w:rsidRPr="00FF023B">
              <w:rPr>
                <w:rFonts w:ascii="Times New Roman" w:hAnsi="Times New Roman" w:cs="Times New Roman"/>
              </w:rPr>
              <w:t xml:space="preserve"> Szigeti Gábor Csongor egyetemi adjunktus, </w:t>
            </w:r>
            <w:r w:rsidR="00C111C5" w:rsidRPr="00FF023B">
              <w:rPr>
                <w:rFonts w:ascii="Times New Roman" w:hAnsi="Times New Roman" w:cs="Times New Roman"/>
              </w:rPr>
              <w:t>Nagy Barbara DLA egyetemi adjunktus, Boros Miklós János DLA egyetemi adjunktus</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A tantárgy rövidített címe</w:t>
            </w:r>
            <w:r w:rsidRPr="00FF023B">
              <w:rPr>
                <w:rFonts w:ascii="Times New Roman" w:hAnsi="Times New Roman" w:cs="Times New Roman"/>
              </w:rPr>
              <w:t>: -</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Tantárgykódja</w:t>
            </w:r>
            <w:r w:rsidRPr="00FF023B">
              <w:rPr>
                <w:rFonts w:ascii="Times New Roman" w:hAnsi="Times New Roman" w:cs="Times New Roman"/>
              </w:rPr>
              <w:t xml:space="preserve">: </w:t>
            </w:r>
            <w:r w:rsidR="00BF0807" w:rsidRPr="00FF023B">
              <w:rPr>
                <w:rFonts w:ascii="Times New Roman" w:hAnsi="Times New Roman" w:cs="Times New Roman"/>
              </w:rPr>
              <w:t>VMA-VMMI01-03-23-C, VMA-VMMI01-03-24-C, VMA-VMMI</w:t>
            </w:r>
            <w:bookmarkStart w:id="0" w:name="_GoBack"/>
            <w:bookmarkEnd w:id="0"/>
            <w:r w:rsidR="00BF0807" w:rsidRPr="00FF023B">
              <w:rPr>
                <w:rFonts w:ascii="Times New Roman" w:hAnsi="Times New Roman" w:cs="Times New Roman"/>
              </w:rPr>
              <w:t>01-03-25-C</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Felelős tanszéke</w:t>
            </w:r>
            <w:r w:rsidRPr="00FF023B">
              <w:rPr>
                <w:rFonts w:ascii="Times New Roman" w:hAnsi="Times New Roman" w:cs="Times New Roman"/>
              </w:rPr>
              <w:t>: Vizuális Művészet Tanszék</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Képzési idő szemeszterekben:</w:t>
            </w:r>
            <w:r w:rsidRPr="00FF023B">
              <w:rPr>
                <w:rFonts w:ascii="Times New Roman" w:hAnsi="Times New Roman" w:cs="Times New Roman"/>
              </w:rPr>
              <w:t xml:space="preserve"> </w:t>
            </w:r>
            <w:r w:rsidR="00C6263A" w:rsidRPr="00FF023B">
              <w:rPr>
                <w:rFonts w:ascii="Times New Roman" w:hAnsi="Times New Roman" w:cs="Times New Roman"/>
              </w:rPr>
              <w:t>3</w:t>
            </w:r>
            <w:r w:rsidRPr="00FF023B">
              <w:rPr>
                <w:rFonts w:ascii="Times New Roman" w:hAnsi="Times New Roman" w:cs="Times New Roman"/>
              </w:rPr>
              <w:t xml:space="preserve"> szemeszter</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Tanórák száma összesen:</w:t>
            </w:r>
            <w:r w:rsidRPr="00FF023B">
              <w:rPr>
                <w:rFonts w:ascii="Times New Roman" w:hAnsi="Times New Roman" w:cs="Times New Roman"/>
              </w:rPr>
              <w:t xml:space="preserve"> </w:t>
            </w:r>
            <w:r w:rsidR="0030334B" w:rsidRPr="00FF023B">
              <w:rPr>
                <w:rFonts w:ascii="Times New Roman" w:hAnsi="Times New Roman" w:cs="Times New Roman"/>
              </w:rPr>
              <w:t>410</w:t>
            </w:r>
            <w:r w:rsidR="005F7CDC" w:rsidRPr="00FF023B">
              <w:rPr>
                <w:rFonts w:ascii="Times New Roman" w:hAnsi="Times New Roman" w:cs="Times New Roman"/>
              </w:rPr>
              <w:t xml:space="preserve"> </w:t>
            </w:r>
            <w:r w:rsidRPr="00FF023B">
              <w:rPr>
                <w:rFonts w:ascii="Times New Roman" w:hAnsi="Times New Roman" w:cs="Times New Roman"/>
              </w:rPr>
              <w:t>tanóra</w:t>
            </w:r>
            <w:r w:rsidR="0030334B" w:rsidRPr="00FF023B">
              <w:rPr>
                <w:rFonts w:ascii="Times New Roman" w:hAnsi="Times New Roman" w:cs="Times New Roman"/>
              </w:rPr>
              <w:t xml:space="preserve"> (+410 kötelező önálló munkaóra)</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Tanulmányi követelmények:</w:t>
            </w:r>
            <w:r w:rsidRPr="00FF023B">
              <w:rPr>
                <w:rFonts w:ascii="Times New Roman" w:hAnsi="Times New Roman" w:cs="Times New Roman"/>
              </w:rPr>
              <w:t xml:space="preserve"> </w:t>
            </w:r>
            <w:r w:rsidRPr="00FF023B">
              <w:rPr>
                <w:rFonts w:ascii="Times New Roman" w:hAnsi="Times New Roman" w:cs="Times New Roman"/>
                <w:bCs/>
                <w:noProof/>
              </w:rPr>
              <w:t>Önálló alkotói tevékenység, aktív műtermi munka, gyakori konzultáció a szaktanárokkal</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Oktatási módszerek:</w:t>
            </w:r>
            <w:r w:rsidRPr="00FF023B">
              <w:rPr>
                <w:rFonts w:ascii="Times New Roman" w:hAnsi="Times New Roman" w:cs="Times New Roman"/>
              </w:rPr>
              <w:t xml:space="preserve"> </w:t>
            </w:r>
            <w:r w:rsidRPr="00FF023B">
              <w:rPr>
                <w:rFonts w:ascii="Times New Roman" w:hAnsi="Times New Roman" w:cs="Times New Roman"/>
                <w:noProof/>
              </w:rPr>
              <w:t>Szaktanári konzultáció</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Javasolt tanulási módszerek</w:t>
            </w:r>
            <w:r w:rsidRPr="00FF023B">
              <w:rPr>
                <w:rFonts w:ascii="Times New Roman" w:hAnsi="Times New Roman" w:cs="Times New Roman"/>
              </w:rPr>
              <w:t xml:space="preserve">: </w:t>
            </w:r>
            <w:r w:rsidRPr="00FF023B">
              <w:rPr>
                <w:rFonts w:ascii="Times New Roman" w:hAnsi="Times New Roman" w:cs="Times New Roman"/>
                <w:noProof/>
              </w:rPr>
              <w:t>Rendszeres, folyamatos, aktív műtermi / stúdió munka, konzultáció</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A hallgató egyéni munkával megoldandó feladatainak száma:</w:t>
            </w:r>
            <w:r w:rsidRPr="00FF023B">
              <w:rPr>
                <w:rFonts w:ascii="Times New Roman" w:hAnsi="Times New Roman" w:cs="Times New Roman"/>
              </w:rPr>
              <w:t xml:space="preserve"> </w:t>
            </w:r>
            <w:r w:rsidRPr="00FF023B">
              <w:rPr>
                <w:rFonts w:ascii="Times New Roman" w:hAnsi="Times New Roman" w:cs="Times New Roman"/>
                <w:noProof/>
              </w:rPr>
              <w:t>változó, 2-5 / szemeszter</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Felhasználható fontosabb technikai és egyéb segédeszközök:</w:t>
            </w:r>
            <w:r w:rsidRPr="00FF023B">
              <w:rPr>
                <w:rFonts w:ascii="Times New Roman" w:hAnsi="Times New Roman" w:cs="Times New Roman"/>
              </w:rPr>
              <w:t xml:space="preserve"> Projektor, </w:t>
            </w:r>
            <w:r w:rsidRPr="00FF023B">
              <w:rPr>
                <w:rFonts w:ascii="Times New Roman" w:hAnsi="Times New Roman" w:cs="Times New Roman"/>
                <w:noProof/>
              </w:rPr>
              <w:t>a Vizuális Művészet Tanszék műtermei, eszközparkja</w:t>
            </w:r>
          </w:p>
        </w:tc>
      </w:tr>
      <w:tr w:rsidR="007608DD" w:rsidRPr="00FF023B" w:rsidTr="0020221F">
        <w:trPr>
          <w:trHeight w:val="337"/>
        </w:trPr>
        <w:tc>
          <w:tcPr>
            <w:tcW w:w="9498" w:type="dxa"/>
            <w:gridSpan w:val="2"/>
            <w:shd w:val="clear" w:color="auto" w:fill="auto"/>
            <w:tcMar>
              <w:top w:w="57" w:type="dxa"/>
              <w:bottom w:w="57" w:type="dxa"/>
            </w:tcMar>
          </w:tcPr>
          <w:p w:rsidR="007608DD" w:rsidRPr="00FF023B" w:rsidRDefault="007608DD" w:rsidP="0020221F">
            <w:pPr>
              <w:tabs>
                <w:tab w:val="left" w:pos="317"/>
              </w:tabs>
              <w:suppressAutoHyphens/>
              <w:rPr>
                <w:rFonts w:ascii="Times New Roman" w:hAnsi="Times New Roman" w:cs="Times New Roman"/>
              </w:rPr>
            </w:pPr>
            <w:r w:rsidRPr="00FF023B">
              <w:rPr>
                <w:rFonts w:ascii="Times New Roman" w:hAnsi="Times New Roman" w:cs="Times New Roman"/>
                <w:b/>
              </w:rPr>
              <w:t>Szabadon választható tárgyként meghirdetve a jelentkező hallgatók létszáma</w:t>
            </w:r>
            <w:r w:rsidRPr="00FF023B">
              <w:rPr>
                <w:rFonts w:ascii="Times New Roman" w:hAnsi="Times New Roman" w:cs="Times New Roman"/>
              </w:rPr>
              <w:t xml:space="preserve"> </w:t>
            </w:r>
            <w:r w:rsidRPr="00FF023B">
              <w:rPr>
                <w:rFonts w:ascii="Times New Roman" w:hAnsi="Times New Roman" w:cs="Times New Roman"/>
                <w:b/>
              </w:rPr>
              <w:t>(a tárgyat kötelezően</w:t>
            </w:r>
            <w:r w:rsidRPr="00FF023B">
              <w:rPr>
                <w:rFonts w:ascii="Times New Roman" w:hAnsi="Times New Roman" w:cs="Times New Roman"/>
              </w:rPr>
              <w:t xml:space="preserve"> </w:t>
            </w:r>
            <w:r w:rsidRPr="00FF023B">
              <w:rPr>
                <w:rFonts w:ascii="Times New Roman" w:hAnsi="Times New Roman" w:cs="Times New Roman"/>
                <w:b/>
              </w:rPr>
              <w:t>felvevő hallgatókkal együtt):</w:t>
            </w:r>
            <w:r w:rsidRPr="00FF023B">
              <w:rPr>
                <w:rFonts w:ascii="Times New Roman" w:hAnsi="Times New Roman" w:cs="Times New Roman"/>
              </w:rPr>
              <w:t xml:space="preserve"> </w:t>
            </w:r>
            <w:proofErr w:type="spellStart"/>
            <w:r w:rsidRPr="00FF023B">
              <w:rPr>
                <w:rFonts w:ascii="Times New Roman" w:hAnsi="Times New Roman" w:cs="Times New Roman"/>
              </w:rPr>
              <w:t>max</w:t>
            </w:r>
            <w:proofErr w:type="spellEnd"/>
            <w:r w:rsidRPr="00FF023B">
              <w:rPr>
                <w:rFonts w:ascii="Times New Roman" w:hAnsi="Times New Roman" w:cs="Times New Roman"/>
              </w:rPr>
              <w:t>. 15 fő</w:t>
            </w:r>
          </w:p>
        </w:tc>
      </w:tr>
    </w:tbl>
    <w:p w:rsidR="007608DD" w:rsidRPr="00FF023B" w:rsidRDefault="007608DD" w:rsidP="007608DD">
      <w:pPr>
        <w:rPr>
          <w:rFonts w:ascii="Times New Roman" w:hAnsi="Times New Roman" w:cs="Times New Roman"/>
          <w:sz w:val="24"/>
          <w:szCs w:val="24"/>
        </w:rPr>
      </w:pPr>
    </w:p>
    <w:p w:rsidR="00324455" w:rsidRPr="00FF023B" w:rsidRDefault="00324455" w:rsidP="00324455">
      <w:pPr>
        <w:jc w:val="center"/>
        <w:rPr>
          <w:rFonts w:ascii="Times New Roman" w:hAnsi="Times New Roman" w:cs="Times New Roman"/>
        </w:rPr>
      </w:pPr>
    </w:p>
    <w:sectPr w:rsidR="00324455" w:rsidRPr="00FF023B" w:rsidSect="0032445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1709E"/>
    <w:multiLevelType w:val="hybridMultilevel"/>
    <w:tmpl w:val="B066CFF8"/>
    <w:lvl w:ilvl="0" w:tplc="F5A429C0">
      <w:start w:val="1"/>
      <w:numFmt w:val="lowerLetter"/>
      <w:lvlText w:val="%1)"/>
      <w:lvlJc w:val="left"/>
      <w:pPr>
        <w:ind w:left="394" w:hanging="360"/>
      </w:pPr>
      <w:rPr>
        <w:rFonts w:hint="default"/>
        <w:sz w:val="20"/>
        <w:szCs w:val="20"/>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 w15:restartNumberingAfterBreak="0">
    <w:nsid w:val="7DB15604"/>
    <w:multiLevelType w:val="hybridMultilevel"/>
    <w:tmpl w:val="6E1471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55"/>
    <w:rsid w:val="000C5400"/>
    <w:rsid w:val="0019377F"/>
    <w:rsid w:val="0030334B"/>
    <w:rsid w:val="00324455"/>
    <w:rsid w:val="003F44E0"/>
    <w:rsid w:val="005A7A7F"/>
    <w:rsid w:val="005F7CDC"/>
    <w:rsid w:val="007608DD"/>
    <w:rsid w:val="007870E6"/>
    <w:rsid w:val="00BF0807"/>
    <w:rsid w:val="00C111C5"/>
    <w:rsid w:val="00C6263A"/>
    <w:rsid w:val="00FF02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F49F"/>
  <w15:chartTrackingRefBased/>
  <w15:docId w15:val="{8732B635-8A17-430D-8F8D-FB3F8849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locked/>
    <w:rsid w:val="005F7CDC"/>
    <w:rPr>
      <w:rFonts w:ascii="Times New Roman" w:eastAsia="Times New Roman" w:hAnsi="Times New Roman" w:cs="Times New Roman"/>
      <w:sz w:val="20"/>
      <w:szCs w:val="20"/>
      <w:lang w:eastAsia="hu-HU"/>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5F7CDC"/>
    <w:pPr>
      <w:spacing w:after="0" w:line="240" w:lineRule="auto"/>
      <w:ind w:left="720"/>
      <w:contextualSpacing/>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8593">
      <w:bodyDiv w:val="1"/>
      <w:marLeft w:val="0"/>
      <w:marRight w:val="0"/>
      <w:marTop w:val="0"/>
      <w:marBottom w:val="0"/>
      <w:divBdr>
        <w:top w:val="none" w:sz="0" w:space="0" w:color="auto"/>
        <w:left w:val="none" w:sz="0" w:space="0" w:color="auto"/>
        <w:bottom w:val="none" w:sz="0" w:space="0" w:color="auto"/>
        <w:right w:val="none" w:sz="0" w:space="0" w:color="auto"/>
      </w:divBdr>
    </w:div>
    <w:div w:id="130754903">
      <w:bodyDiv w:val="1"/>
      <w:marLeft w:val="0"/>
      <w:marRight w:val="0"/>
      <w:marTop w:val="0"/>
      <w:marBottom w:val="0"/>
      <w:divBdr>
        <w:top w:val="none" w:sz="0" w:space="0" w:color="auto"/>
        <w:left w:val="none" w:sz="0" w:space="0" w:color="auto"/>
        <w:bottom w:val="none" w:sz="0" w:space="0" w:color="auto"/>
        <w:right w:val="none" w:sz="0" w:space="0" w:color="auto"/>
      </w:divBdr>
    </w:div>
    <w:div w:id="81488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973</Words>
  <Characters>6718</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Szentirmai-Joly Zsuzsanna</dc:creator>
  <cp:keywords/>
  <dc:description/>
  <cp:lastModifiedBy>Szentirmai-Joly Zsuzsanna</cp:lastModifiedBy>
  <cp:revision>2</cp:revision>
  <dcterms:created xsi:type="dcterms:W3CDTF">2026-06-29T19:51:00Z</dcterms:created>
  <dcterms:modified xsi:type="dcterms:W3CDTF">2026-06-29T20:48:00Z</dcterms:modified>
</cp:coreProperties>
</file>